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7D" w:rsidRDefault="0091317D" w:rsidP="0091317D">
      <w:pPr>
        <w:spacing w:after="0" w:line="240" w:lineRule="auto"/>
        <w:jc w:val="both"/>
        <w:rPr>
          <w:iCs/>
          <w:sz w:val="24"/>
          <w:szCs w:val="24"/>
        </w:rPr>
      </w:pPr>
      <w:r w:rsidRPr="0091317D">
        <w:rPr>
          <w:iCs/>
          <w:sz w:val="24"/>
          <w:szCs w:val="24"/>
        </w:rPr>
        <w:t>Estimado,</w:t>
      </w:r>
    </w:p>
    <w:p w:rsidR="0091317D" w:rsidRPr="0091317D" w:rsidRDefault="0091317D" w:rsidP="0091317D">
      <w:pPr>
        <w:spacing w:after="0" w:line="240" w:lineRule="auto"/>
        <w:jc w:val="both"/>
        <w:rPr>
          <w:iCs/>
          <w:sz w:val="24"/>
          <w:szCs w:val="24"/>
        </w:rPr>
      </w:pPr>
    </w:p>
    <w:p w:rsidR="0076132C" w:rsidRDefault="0091317D" w:rsidP="0091317D">
      <w:p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En relación a sus comentarios</w:t>
      </w:r>
      <w:r w:rsidRPr="0091317D">
        <w:rPr>
          <w:iCs/>
          <w:sz w:val="24"/>
          <w:szCs w:val="24"/>
        </w:rPr>
        <w:t xml:space="preserve"> podemos señalar </w:t>
      </w:r>
      <w:r>
        <w:rPr>
          <w:iCs/>
          <w:sz w:val="24"/>
          <w:szCs w:val="24"/>
        </w:rPr>
        <w:t xml:space="preserve">que, </w:t>
      </w:r>
      <w:r w:rsidRPr="0091317D">
        <w:rPr>
          <w:iCs/>
          <w:sz w:val="24"/>
          <w:szCs w:val="24"/>
        </w:rPr>
        <w:t>l</w:t>
      </w:r>
      <w:r w:rsidRPr="0091317D">
        <w:rPr>
          <w:iCs/>
          <w:sz w:val="24"/>
          <w:szCs w:val="24"/>
        </w:rPr>
        <w:t>a aprobación de la respectiva providencia de traslado está condicionada a que la aclaración de</w:t>
      </w:r>
      <w:r w:rsidR="00A572BF">
        <w:rPr>
          <w:iCs/>
          <w:sz w:val="24"/>
          <w:szCs w:val="24"/>
        </w:rPr>
        <w:t>l</w:t>
      </w:r>
      <w:r w:rsidRPr="0091317D">
        <w:rPr>
          <w:iCs/>
          <w:sz w:val="24"/>
          <w:szCs w:val="24"/>
        </w:rPr>
        <w:t xml:space="preserve"> BL por cambio de almacén esté aprobada.  Por tanto, en primer lugar se deber tramitar la aclaración del almace</w:t>
      </w:r>
      <w:r w:rsidR="00A572BF">
        <w:rPr>
          <w:iCs/>
          <w:sz w:val="24"/>
          <w:szCs w:val="24"/>
        </w:rPr>
        <w:t xml:space="preserve">nista y una vez aprobada, </w:t>
      </w:r>
      <w:bookmarkStart w:id="0" w:name="_GoBack"/>
      <w:bookmarkEnd w:id="0"/>
      <w:r w:rsidRPr="0091317D">
        <w:rPr>
          <w:iCs/>
          <w:sz w:val="24"/>
          <w:szCs w:val="24"/>
        </w:rPr>
        <w:t>Aduana emitirá la providencia que autoriza el traslado físico de la carga.</w:t>
      </w:r>
    </w:p>
    <w:p w:rsidR="0091317D" w:rsidRDefault="0091317D" w:rsidP="0091317D">
      <w:pPr>
        <w:spacing w:after="0" w:line="240" w:lineRule="auto"/>
        <w:jc w:val="both"/>
        <w:rPr>
          <w:iCs/>
          <w:sz w:val="24"/>
          <w:szCs w:val="24"/>
        </w:rPr>
      </w:pPr>
    </w:p>
    <w:p w:rsidR="0091317D" w:rsidRPr="0091317D" w:rsidRDefault="0091317D" w:rsidP="0091317D">
      <w:pPr>
        <w:spacing w:after="0" w:line="24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Servicio Nacional de Aduanas</w:t>
      </w:r>
    </w:p>
    <w:sectPr w:rsidR="0091317D" w:rsidRPr="00913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7D"/>
    <w:rsid w:val="0037501E"/>
    <w:rsid w:val="003D3701"/>
    <w:rsid w:val="006C0C13"/>
    <w:rsid w:val="0091317D"/>
    <w:rsid w:val="00945252"/>
    <w:rsid w:val="00A5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0E592B-76CE-4C82-935B-9E3C5BE7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Pacheco Mendiboure</dc:creator>
  <cp:keywords/>
  <dc:description/>
  <cp:lastModifiedBy>Raul Pacheco Mendiboure</cp:lastModifiedBy>
  <cp:revision>4</cp:revision>
  <dcterms:created xsi:type="dcterms:W3CDTF">2019-12-02T20:19:00Z</dcterms:created>
  <dcterms:modified xsi:type="dcterms:W3CDTF">2019-12-02T20:27:00Z</dcterms:modified>
</cp:coreProperties>
</file>